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7C7" w:rsidRPr="007727C7" w:rsidRDefault="007727C7" w:rsidP="007727C7">
      <w:pPr>
        <w:overflowPunct w:val="0"/>
        <w:autoSpaceDE w:val="0"/>
        <w:autoSpaceDN w:val="0"/>
        <w:adjustRightInd w:val="0"/>
        <w:spacing w:after="0" w:line="240" w:lineRule="auto"/>
        <w:ind w:firstLine="709"/>
        <w:jc w:val="center"/>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ЛЕКЦИЯ 4. МЕТОДЫ  СБОРА  И  ОБРАБОТКИ  ИНФОРМАЦИИ  В  ЛЕСНОЙ  БИОМЕТРИИ</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b/>
          <w:sz w:val="28"/>
          <w:szCs w:val="28"/>
          <w:lang w:eastAsia="ru-RU"/>
        </w:rPr>
      </w:pP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Выбор правильных методов сбора и обработки информации определяет результат исследования.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Определенная  научная  или  производственная  задача,  которая  ставится  в  соответствии  с  очередными  потребностями  и  планами  развития  отрасли,  может  быть  решена  на  основе  накопленной  информации  или  для  ее  решения  может  потребоваться  сбор  (полный  или  частичный)  новой  информации.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Существует  два  основных  способа  наблюдений  по  охвату  единиц  изучаемого  объекта:  сплошное  обследование  всех  единиц  изучаемой  совокупности  и  частичное  обследование,  когда  наблюдению  подвергается  лишь  часть  единиц  изучаемой  совокупности.  В  лесном хозяйстве обычно ограничиваются частичным  (выборочным)  обследованием.  Выборку  производят  для  получения  характеристики  целого,  подлежащего  изучению.  Та  совокупность,  которая  подлежит  изучению,  называется  общей,  или  генеральной,  а  отобранные  из  нее  единицы  наблюдения  представляют  частичную,  или  выборочную,  совокупность.  Относительная  часть,  которую  составляет  число  единиц  </w:t>
      </w:r>
      <w:proofErr w:type="gramStart"/>
      <w:r w:rsidRPr="007727C7">
        <w:rPr>
          <w:rFonts w:ascii="Times New Roman" w:eastAsia="Times New Roman" w:hAnsi="Times New Roman"/>
          <w:sz w:val="28"/>
          <w:szCs w:val="28"/>
          <w:lang w:eastAsia="ru-RU"/>
        </w:rPr>
        <w:t>с</w:t>
      </w:r>
      <w:proofErr w:type="gramEnd"/>
      <w:r w:rsidRPr="007727C7">
        <w:rPr>
          <w:rFonts w:ascii="Times New Roman" w:eastAsia="Times New Roman" w:hAnsi="Times New Roman"/>
          <w:sz w:val="28"/>
          <w:szCs w:val="28"/>
          <w:lang w:eastAsia="ru-RU"/>
        </w:rPr>
        <w:t xml:space="preserve">  </w:t>
      </w:r>
      <w:proofErr w:type="gramStart"/>
      <w:r w:rsidRPr="007727C7">
        <w:rPr>
          <w:rFonts w:ascii="Times New Roman" w:eastAsia="Times New Roman" w:hAnsi="Times New Roman"/>
          <w:sz w:val="28"/>
          <w:szCs w:val="28"/>
          <w:lang w:eastAsia="ru-RU"/>
        </w:rPr>
        <w:t>данным</w:t>
      </w:r>
      <w:proofErr w:type="gramEnd"/>
      <w:r w:rsidRPr="007727C7">
        <w:rPr>
          <w:rFonts w:ascii="Times New Roman" w:eastAsia="Times New Roman" w:hAnsi="Times New Roman"/>
          <w:sz w:val="28"/>
          <w:szCs w:val="28"/>
          <w:lang w:eastAsia="ru-RU"/>
        </w:rPr>
        <w:t xml:space="preserve">  значение  признака  от  общего  числа  единиц  совокупности,  называется  в  генеральной  совокупности - долей,  а  в  выборочной - частностью.</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Как  сплошное,  так  и  </w:t>
      </w:r>
      <w:proofErr w:type="spellStart"/>
      <w:r w:rsidRPr="007727C7">
        <w:rPr>
          <w:rFonts w:ascii="Times New Roman" w:eastAsia="Times New Roman" w:hAnsi="Times New Roman"/>
          <w:sz w:val="28"/>
          <w:szCs w:val="28"/>
          <w:lang w:eastAsia="ru-RU"/>
        </w:rPr>
        <w:t>несплошное</w:t>
      </w:r>
      <w:proofErr w:type="spellEnd"/>
      <w:r w:rsidRPr="007727C7">
        <w:rPr>
          <w:rFonts w:ascii="Times New Roman" w:eastAsia="Times New Roman" w:hAnsi="Times New Roman"/>
          <w:sz w:val="28"/>
          <w:szCs w:val="28"/>
          <w:lang w:eastAsia="ru-RU"/>
        </w:rPr>
        <w:t xml:space="preserve">  наблюдение  по  способу  производства  может  быть;</w:t>
      </w:r>
    </w:p>
    <w:p w:rsidR="007727C7" w:rsidRPr="007727C7" w:rsidRDefault="007727C7" w:rsidP="007727C7">
      <w:pPr>
        <w:numPr>
          <w:ilvl w:val="0"/>
          <w:numId w:val="5"/>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По  связи  с  объектом - </w:t>
      </w:r>
      <w:proofErr w:type="gramStart"/>
      <w:r w:rsidRPr="007727C7">
        <w:rPr>
          <w:rFonts w:ascii="Times New Roman" w:eastAsia="Times New Roman" w:hAnsi="Times New Roman"/>
          <w:sz w:val="28"/>
          <w:szCs w:val="28"/>
          <w:lang w:eastAsia="ru-RU"/>
        </w:rPr>
        <w:t>непосредственное</w:t>
      </w:r>
      <w:proofErr w:type="gramEnd"/>
      <w:r w:rsidRPr="007727C7">
        <w:rPr>
          <w:rFonts w:ascii="Times New Roman" w:eastAsia="Times New Roman" w:hAnsi="Times New Roman"/>
          <w:sz w:val="28"/>
          <w:szCs w:val="28"/>
          <w:lang w:eastAsia="ru-RU"/>
        </w:rPr>
        <w:t>,  экспедиционное,  корреспондентское  и  отчетное;</w:t>
      </w:r>
    </w:p>
    <w:p w:rsidR="007727C7" w:rsidRPr="007727C7" w:rsidRDefault="007727C7" w:rsidP="007727C7">
      <w:pPr>
        <w:numPr>
          <w:ilvl w:val="0"/>
          <w:numId w:val="5"/>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По  времени  производства - непрерывное,  по  мере  возникновения  явления  (например,  фенологическое);  периодическое (повторное) - через  определенные  промежутки  времени  и  единовременное  или однократное;</w:t>
      </w:r>
    </w:p>
    <w:p w:rsidR="007727C7" w:rsidRPr="007727C7" w:rsidRDefault="007727C7" w:rsidP="007727C7">
      <w:pPr>
        <w:numPr>
          <w:ilvl w:val="0"/>
          <w:numId w:val="5"/>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По  источникам - собственное  наблюдение,  устный  и  письменный  (анкетный)  опрос  и  по  документальным  материалам – литературным, служебным  и  архивным данным.</w:t>
      </w:r>
    </w:p>
    <w:p w:rsidR="007727C7" w:rsidRPr="007727C7" w:rsidRDefault="007727C7" w:rsidP="007727C7">
      <w:pPr>
        <w:numPr>
          <w:ilvl w:val="0"/>
          <w:numId w:val="5"/>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По  особенностям  отбираемых  единиц:</w:t>
      </w:r>
    </w:p>
    <w:p w:rsidR="007727C7" w:rsidRPr="007727C7" w:rsidRDefault="007727C7" w:rsidP="007727C7">
      <w:pPr>
        <w:numPr>
          <w:ilvl w:val="1"/>
          <w:numId w:val="5"/>
        </w:numPr>
        <w:tabs>
          <w:tab w:val="num" w:pos="0"/>
          <w:tab w:val="left" w:pos="108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отбор  средних  типичных  единиц,  применяемый  в  лесной  таксации;</w:t>
      </w:r>
    </w:p>
    <w:p w:rsidR="007727C7" w:rsidRPr="007727C7" w:rsidRDefault="007727C7" w:rsidP="007727C7">
      <w:pPr>
        <w:numPr>
          <w:ilvl w:val="1"/>
          <w:numId w:val="5"/>
        </w:numPr>
        <w:tabs>
          <w:tab w:val="num" w:pos="0"/>
          <w:tab w:val="left" w:pos="108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отбор  случайных  единиц,  производимый  по  специальному  плану, который является  в  статистике  основным;</w:t>
      </w:r>
    </w:p>
    <w:p w:rsidR="007727C7" w:rsidRPr="007727C7" w:rsidRDefault="007727C7" w:rsidP="007727C7">
      <w:pPr>
        <w:numPr>
          <w:ilvl w:val="1"/>
          <w:numId w:val="5"/>
        </w:numPr>
        <w:tabs>
          <w:tab w:val="num" w:pos="0"/>
          <w:tab w:val="left" w:pos="108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по  виду  самого  отбора:</w:t>
      </w:r>
    </w:p>
    <w:p w:rsidR="007727C7" w:rsidRPr="007727C7" w:rsidRDefault="007727C7" w:rsidP="007727C7">
      <w:pPr>
        <w:numPr>
          <w:ilvl w:val="1"/>
          <w:numId w:val="5"/>
        </w:numPr>
        <w:tabs>
          <w:tab w:val="num" w:pos="0"/>
          <w:tab w:val="left" w:pos="108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proofErr w:type="gramStart"/>
      <w:r w:rsidRPr="007727C7">
        <w:rPr>
          <w:rFonts w:ascii="Times New Roman" w:eastAsia="Times New Roman" w:hAnsi="Times New Roman"/>
          <w:sz w:val="28"/>
          <w:szCs w:val="28"/>
          <w:lang w:eastAsia="ru-RU"/>
        </w:rPr>
        <w:t>бесповторное</w:t>
      </w:r>
      <w:proofErr w:type="gramEnd"/>
      <w:r w:rsidRPr="007727C7">
        <w:rPr>
          <w:rFonts w:ascii="Times New Roman" w:eastAsia="Times New Roman" w:hAnsi="Times New Roman"/>
          <w:sz w:val="28"/>
          <w:szCs w:val="28"/>
          <w:lang w:eastAsia="ru-RU"/>
        </w:rPr>
        <w:t>,  когда  отобранная  единица  после  производства  наблюдений  над  ней  не  возвращается  в  генеральную  совокупность;</w:t>
      </w:r>
    </w:p>
    <w:p w:rsidR="007727C7" w:rsidRPr="007727C7" w:rsidRDefault="007727C7" w:rsidP="007727C7">
      <w:pPr>
        <w:numPr>
          <w:ilvl w:val="1"/>
          <w:numId w:val="5"/>
        </w:numPr>
        <w:tabs>
          <w:tab w:val="num" w:pos="0"/>
          <w:tab w:val="left" w:pos="108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proofErr w:type="gramStart"/>
      <w:r w:rsidRPr="007727C7">
        <w:rPr>
          <w:rFonts w:ascii="Times New Roman" w:eastAsia="Times New Roman" w:hAnsi="Times New Roman"/>
          <w:sz w:val="28"/>
          <w:szCs w:val="28"/>
          <w:lang w:eastAsia="ru-RU"/>
        </w:rPr>
        <w:t>повторное</w:t>
      </w:r>
      <w:proofErr w:type="gramEnd"/>
      <w:r w:rsidRPr="007727C7">
        <w:rPr>
          <w:rFonts w:ascii="Times New Roman" w:eastAsia="Times New Roman" w:hAnsi="Times New Roman"/>
          <w:sz w:val="28"/>
          <w:szCs w:val="28"/>
          <w:lang w:eastAsia="ru-RU"/>
        </w:rPr>
        <w:t>,  когда  обследованная  единица  возвращается  в  генеральную  совокупность  и  может  снова  попасть  в  отбор.</w:t>
      </w:r>
    </w:p>
    <w:p w:rsidR="007727C7" w:rsidRPr="007727C7" w:rsidRDefault="007727C7" w:rsidP="007727C7">
      <w:pPr>
        <w:numPr>
          <w:ilvl w:val="0"/>
          <w:numId w:val="6"/>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По  принципу  взятия  единиц - </w:t>
      </w:r>
      <w:proofErr w:type="gramStart"/>
      <w:r w:rsidRPr="007727C7">
        <w:rPr>
          <w:rFonts w:ascii="Times New Roman" w:eastAsia="Times New Roman" w:hAnsi="Times New Roman"/>
          <w:sz w:val="28"/>
          <w:szCs w:val="28"/>
          <w:lang w:eastAsia="ru-RU"/>
        </w:rPr>
        <w:t>случайный</w:t>
      </w:r>
      <w:proofErr w:type="gramEnd"/>
      <w:r w:rsidRPr="007727C7">
        <w:rPr>
          <w:rFonts w:ascii="Times New Roman" w:eastAsia="Times New Roman" w:hAnsi="Times New Roman"/>
          <w:sz w:val="28"/>
          <w:szCs w:val="28"/>
          <w:lang w:eastAsia="ru-RU"/>
        </w:rPr>
        <w:t xml:space="preserve">,  типический  (по  группам,  однородным  по  какому-либо  признаку)  и  механический. Отбор  </w:t>
      </w:r>
      <w:r w:rsidRPr="007727C7">
        <w:rPr>
          <w:rFonts w:ascii="Times New Roman" w:eastAsia="Times New Roman" w:hAnsi="Times New Roman"/>
          <w:sz w:val="28"/>
          <w:szCs w:val="28"/>
          <w:lang w:eastAsia="ru-RU"/>
        </w:rPr>
        <w:lastRenderedPageBreak/>
        <w:t>можно  производить или  из  всей  совокупности, а также  из  ограниченной  совокупности.     Частичное  наблюдение  методом  случайного  отбора,  при  котором  каждая  единица  изучаемого  объекта  обладает  одинаковой  с  другими  возможностью  попасть  в  выборку,  обеспечивает  полную  объективность  наблюдения.</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При  работах  в  лесу  случайность  (объективность)  отбора  осуществляется  применением  механического  отбора  по  принципу  бесповторной  выборки. В этом случае  любая  единица  совокупности  может  попасть  в  выборку  только  один  раз.</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Отбор  единиц  можно  производить  по  методу  случайной  выборки,  когда  из  совокупности  наудачу,  вслепую  (например,  по  жребию)  отбирают  нужное  число  единиц.  Это  довольно  сложно,  а  в  условиях  леса  практически  неприменимо. Поэтому  материал  наблюдения при исследованиях в лесном деле собирают  путем  механического  отбора.</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Сущность  этого  способа  состоит  в  том,  что  всю  совокупность  механически  разбивают  на  число  частей,  одинаковых  по  размеру  или  количеству  единиц,  соответствующих  числу  наблюдений,  и  в  каждой  части  произвольно  выбирают  единицу  для  наблюдения.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Например,  при  изучении  качества  семян  (плодов)  всю  партию  семян  можно  механически  разбить  на  несколько  частей  или  групп,  одинаковых  по  количеству  или  по  весу  семян,  и  из  каждой  такой  части  или  группы  выбрать  наудачу  партию  семян  для  наблюдения. При отборе модельных деревьев всю совокупность стволов на пробной площади (200–300 шт.) делят по ступеням толщины  (через 2–4 см) и отбор делают внутри этих ступеней.</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Есть  несколько  широко  применяемых  способов  отбора.</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1. </w:t>
      </w:r>
      <w:r w:rsidRPr="007727C7">
        <w:rPr>
          <w:rFonts w:ascii="Times New Roman" w:eastAsia="Times New Roman" w:hAnsi="Times New Roman"/>
          <w:spacing w:val="60"/>
          <w:sz w:val="28"/>
          <w:szCs w:val="28"/>
          <w:lang w:eastAsia="ru-RU"/>
        </w:rPr>
        <w:t>Способ  полосок</w:t>
      </w:r>
      <w:r w:rsidRPr="007727C7">
        <w:rPr>
          <w:rFonts w:ascii="Times New Roman" w:eastAsia="Times New Roman" w:hAnsi="Times New Roman"/>
          <w:sz w:val="28"/>
          <w:szCs w:val="28"/>
          <w:lang w:eastAsia="ru-RU"/>
        </w:rPr>
        <w:t xml:space="preserve">.  Поперек  обследуемой  площади  (например,  лесосеки),  через  одинаковое  расстояние  закладывают  ленты  одной  и  той  же  ширины,  например,  1,  2  или  </w:t>
      </w:r>
      <w:smartTag w:uri="urn:schemas-microsoft-com:office:smarttags" w:element="metricconverter">
        <w:smartTagPr>
          <w:attr w:name="ProductID" w:val="10 м"/>
        </w:smartTagPr>
        <w:r w:rsidRPr="007727C7">
          <w:rPr>
            <w:rFonts w:ascii="Times New Roman" w:eastAsia="Times New Roman" w:hAnsi="Times New Roman"/>
            <w:sz w:val="28"/>
            <w:szCs w:val="28"/>
            <w:lang w:eastAsia="ru-RU"/>
          </w:rPr>
          <w:t>10 м</w:t>
        </w:r>
      </w:smartTag>
      <w:r w:rsidRPr="007727C7">
        <w:rPr>
          <w:rFonts w:ascii="Times New Roman" w:eastAsia="Times New Roman" w:hAnsi="Times New Roman"/>
          <w:sz w:val="28"/>
          <w:szCs w:val="28"/>
          <w:lang w:eastAsia="ru-RU"/>
        </w:rPr>
        <w:t xml:space="preserve">,  со  сплошным  обследованием  на  каждой.  Площадь  всех  полосок  или  лент,  выраженная  в  процентах  от  всей  площади  обследования,  даст  процент  выборки.  Величина  процента  выборки  зависит  от  величины  обследуемой  площади  (чем  больше  площадь,  тем  меньше  может  быть  процент  выборки)  и  степени  </w:t>
      </w:r>
      <w:proofErr w:type="spellStart"/>
      <w:r w:rsidRPr="007727C7">
        <w:rPr>
          <w:rFonts w:ascii="Times New Roman" w:eastAsia="Times New Roman" w:hAnsi="Times New Roman"/>
          <w:sz w:val="28"/>
          <w:szCs w:val="28"/>
          <w:lang w:eastAsia="ru-RU"/>
        </w:rPr>
        <w:t>колеблемости</w:t>
      </w:r>
      <w:proofErr w:type="spellEnd"/>
      <w:r w:rsidRPr="007727C7">
        <w:rPr>
          <w:rFonts w:ascii="Times New Roman" w:eastAsia="Times New Roman" w:hAnsi="Times New Roman"/>
          <w:sz w:val="28"/>
          <w:szCs w:val="28"/>
          <w:lang w:eastAsia="ru-RU"/>
        </w:rPr>
        <w:t xml:space="preserve">  изучаемого  признака: чем  больше  степень  изменчивости  признака,  тем  больше  должна  быть  выборка. Поэтому число  лент в  разных  случаях  может  быть  разное.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Число  единиц  наблюдения  </w:t>
      </w:r>
      <w:r w:rsidRPr="007727C7">
        <w:rPr>
          <w:rFonts w:ascii="Times New Roman" w:eastAsia="Times New Roman" w:hAnsi="Times New Roman"/>
          <w:sz w:val="28"/>
          <w:szCs w:val="28"/>
          <w:lang w:val="en-US" w:eastAsia="ru-RU"/>
        </w:rPr>
        <w:t>N</w:t>
      </w:r>
      <w:r w:rsidRPr="007727C7">
        <w:rPr>
          <w:rFonts w:ascii="Times New Roman" w:eastAsia="Times New Roman" w:hAnsi="Times New Roman"/>
          <w:sz w:val="28"/>
          <w:szCs w:val="28"/>
          <w:lang w:eastAsia="ru-RU"/>
        </w:rPr>
        <w:t xml:space="preserve">  (в  данном  случае - число  лент,  обеспечивающих  результат  с  намеченной  точностью)  можно  определить  по  формулам:</w:t>
      </w:r>
    </w:p>
    <w:bookmarkStart w:id="0" w:name="_GoBack"/>
    <w:p w:rsidR="007727C7" w:rsidRPr="007727C7" w:rsidRDefault="007727C7" w:rsidP="007727C7">
      <w:pPr>
        <w:overflowPunct w:val="0"/>
        <w:autoSpaceDE w:val="0"/>
        <w:autoSpaceDN w:val="0"/>
        <w:adjustRightInd w:val="0"/>
        <w:spacing w:after="0" w:line="240" w:lineRule="auto"/>
        <w:ind w:firstLine="709"/>
        <w:jc w:val="center"/>
        <w:rPr>
          <w:rFonts w:ascii="Times New Roman" w:eastAsia="Times New Roman" w:hAnsi="Times New Roman"/>
          <w:sz w:val="28"/>
          <w:szCs w:val="28"/>
          <w:lang w:val="en-US" w:eastAsia="ru-RU"/>
        </w:rPr>
      </w:pPr>
      <w:r w:rsidRPr="007727C7">
        <w:rPr>
          <w:rFonts w:ascii="Times New Roman" w:eastAsia="Times New Roman" w:hAnsi="Times New Roman"/>
          <w:position w:val="-32"/>
          <w:sz w:val="28"/>
          <w:szCs w:val="28"/>
          <w:lang w:eastAsia="ru-RU"/>
        </w:rPr>
        <w:object w:dxaOrig="2736" w:dyaOrig="7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6pt;height:37.85pt" o:ole="">
            <v:imagedata r:id="rId6" o:title=""/>
          </v:shape>
          <o:OLEObject Type="Embed" ProgID="Equation.3" ShapeID="_x0000_i1025" DrawAspect="Content" ObjectID="_1646899044" r:id="rId7"/>
        </w:object>
      </w:r>
    </w:p>
    <w:bookmarkEnd w:id="0"/>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где  </w:t>
      </w:r>
      <w:r w:rsidRPr="007727C7">
        <w:rPr>
          <w:rFonts w:ascii="Times New Roman" w:eastAsia="Times New Roman" w:hAnsi="Times New Roman"/>
          <w:sz w:val="28"/>
          <w:szCs w:val="28"/>
          <w:lang w:val="en-US" w:eastAsia="ru-RU"/>
        </w:rPr>
        <w:t>V</w:t>
      </w:r>
      <w:r w:rsidRPr="007727C7">
        <w:rPr>
          <w:rFonts w:ascii="Times New Roman" w:eastAsia="Times New Roman" w:hAnsi="Times New Roman"/>
          <w:sz w:val="28"/>
          <w:szCs w:val="28"/>
          <w:lang w:eastAsia="ru-RU"/>
        </w:rPr>
        <w:t>- коэффициент  изменчивости;</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sym w:font="Symbol" w:char="F073"/>
      </w:r>
      <w:r w:rsidRPr="007727C7">
        <w:rPr>
          <w:rFonts w:ascii="Times New Roman" w:eastAsia="Times New Roman" w:hAnsi="Times New Roman"/>
          <w:sz w:val="28"/>
          <w:szCs w:val="28"/>
          <w:lang w:eastAsia="ru-RU"/>
        </w:rPr>
        <w:t xml:space="preserve"> - среднее  </w:t>
      </w:r>
      <w:proofErr w:type="spellStart"/>
      <w:r w:rsidRPr="007727C7">
        <w:rPr>
          <w:rFonts w:ascii="Times New Roman" w:eastAsia="Times New Roman" w:hAnsi="Times New Roman"/>
          <w:sz w:val="28"/>
          <w:szCs w:val="28"/>
          <w:lang w:eastAsia="ru-RU"/>
        </w:rPr>
        <w:t>квадратическое</w:t>
      </w:r>
      <w:proofErr w:type="spellEnd"/>
      <w:r w:rsidRPr="007727C7">
        <w:rPr>
          <w:rFonts w:ascii="Times New Roman" w:eastAsia="Times New Roman" w:hAnsi="Times New Roman"/>
          <w:sz w:val="28"/>
          <w:szCs w:val="28"/>
          <w:lang w:eastAsia="ru-RU"/>
        </w:rPr>
        <w:t xml:space="preserve">  отклонение  значений  признака  единиц  от  их  среднего  значения;</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lastRenderedPageBreak/>
        <w:t>m - намеченная  точность  в  единицах  измерения  признака;</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proofErr w:type="gramStart"/>
      <w:r w:rsidRPr="007727C7">
        <w:rPr>
          <w:rFonts w:ascii="Times New Roman" w:eastAsia="Times New Roman" w:hAnsi="Times New Roman"/>
          <w:sz w:val="28"/>
          <w:szCs w:val="28"/>
          <w:lang w:eastAsia="ru-RU"/>
        </w:rPr>
        <w:t>р</w:t>
      </w:r>
      <w:proofErr w:type="gramEnd"/>
      <w:r w:rsidRPr="007727C7">
        <w:rPr>
          <w:rFonts w:ascii="Times New Roman" w:eastAsia="Times New Roman" w:hAnsi="Times New Roman"/>
          <w:sz w:val="28"/>
          <w:szCs w:val="28"/>
          <w:lang w:eastAsia="ru-RU"/>
        </w:rPr>
        <w:t xml:space="preserve"> - намеченная  точность,  или  точность  опыта,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Методы нахождения </w:t>
      </w:r>
      <w:r w:rsidRPr="007727C7">
        <w:rPr>
          <w:rFonts w:ascii="Times New Roman" w:eastAsia="Times New Roman" w:hAnsi="Times New Roman"/>
          <w:sz w:val="28"/>
          <w:szCs w:val="28"/>
          <w:lang w:val="en-US" w:eastAsia="ru-RU"/>
        </w:rPr>
        <w:t>V</w:t>
      </w:r>
      <w:r w:rsidRPr="007727C7">
        <w:rPr>
          <w:rFonts w:ascii="Times New Roman" w:eastAsia="Times New Roman" w:hAnsi="Times New Roman"/>
          <w:sz w:val="28"/>
          <w:szCs w:val="28"/>
          <w:lang w:eastAsia="ru-RU"/>
        </w:rPr>
        <w:t xml:space="preserve">, </w:t>
      </w:r>
      <w:r w:rsidRPr="007727C7">
        <w:rPr>
          <w:rFonts w:ascii="Times New Roman" w:eastAsia="Times New Roman" w:hAnsi="Times New Roman"/>
          <w:sz w:val="28"/>
          <w:szCs w:val="28"/>
          <w:lang w:eastAsia="ru-RU"/>
        </w:rPr>
        <w:sym w:font="Symbol" w:char="F073"/>
      </w:r>
      <w:r w:rsidRPr="007727C7">
        <w:rPr>
          <w:rFonts w:ascii="Times New Roman" w:eastAsia="Times New Roman" w:hAnsi="Times New Roman"/>
          <w:sz w:val="28"/>
          <w:szCs w:val="28"/>
          <w:lang w:eastAsia="ru-RU"/>
        </w:rPr>
        <w:t xml:space="preserve">, m, </w:t>
      </w:r>
      <w:proofErr w:type="gramStart"/>
      <w:r w:rsidRPr="007727C7">
        <w:rPr>
          <w:rFonts w:ascii="Times New Roman" w:eastAsia="Times New Roman" w:hAnsi="Times New Roman"/>
          <w:sz w:val="28"/>
          <w:szCs w:val="28"/>
          <w:lang w:eastAsia="ru-RU"/>
        </w:rPr>
        <w:t>р</w:t>
      </w:r>
      <w:proofErr w:type="gramEnd"/>
      <w:r w:rsidRPr="007727C7">
        <w:rPr>
          <w:rFonts w:ascii="Times New Roman" w:eastAsia="Times New Roman" w:hAnsi="Times New Roman"/>
          <w:sz w:val="28"/>
          <w:szCs w:val="28"/>
          <w:lang w:eastAsia="ru-RU"/>
        </w:rPr>
        <w:t xml:space="preserve"> будут рассмотрены ниже.</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Зная  необходимое  число  лент  и  длину  обследуемой  площади,  расстояние  между  центрами  лент  можно  получить  делением  длины  обследуемой  площади  на  запроектированное  число  лент.</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При  невозможности  предварительно  подсчитать  необходимое  число  лент  надо  брать  не  менее  5-10  лент  и  установить  расстояние  между  ними  делением  длины  обследуемой  площади  на  число  этих  лент.  Каждую  ленту  целесообразно  разделить  на  три-пять  частей,  одинаковых  по  длине,  которые  и  будут  сложными  единицами  наблюдения,  состоящими  из  ряда  единиц  совокупности  (деревьев).</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При  обследовании лесных  культур  лентами  могут  служить  ряды  культур:  один,  два  и  больше  в  ленте.  Количество  отобранных  рядов деревьев  в  лентах,  выраженное  в  процентах  от  всего  числа  рядов  на  обследуемой  площади,  представляет  процент  выборки.</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2. </w:t>
      </w:r>
      <w:r w:rsidRPr="007727C7">
        <w:rPr>
          <w:rFonts w:ascii="Times New Roman" w:eastAsia="Times New Roman" w:hAnsi="Times New Roman"/>
          <w:spacing w:val="60"/>
          <w:sz w:val="28"/>
          <w:szCs w:val="28"/>
          <w:lang w:eastAsia="ru-RU"/>
        </w:rPr>
        <w:t>Способ  площадок</w:t>
      </w:r>
      <w:r w:rsidRPr="007727C7">
        <w:rPr>
          <w:rFonts w:ascii="Times New Roman" w:eastAsia="Times New Roman" w:hAnsi="Times New Roman"/>
          <w:sz w:val="28"/>
          <w:szCs w:val="28"/>
          <w:lang w:eastAsia="ru-RU"/>
        </w:rPr>
        <w:t>.  Площадки  строго  одинакового  размера  и  формы  закладывают  через  одно  и  то  же  расстояние  одна  от  другой.  Ширина  и  длина  площадок  в  разных  случаях  может  быть  разной,  т. е.  площадки  могут  быть  квадратными  (например,  1</w:t>
      </w:r>
      <w:r w:rsidRPr="007727C7">
        <w:rPr>
          <w:rFonts w:ascii="Times New Roman" w:eastAsia="Times New Roman" w:hAnsi="Times New Roman"/>
          <w:sz w:val="28"/>
          <w:szCs w:val="28"/>
          <w:lang w:eastAsia="ru-RU"/>
        </w:rPr>
        <w:sym w:font="Symbol" w:char="F0B4"/>
      </w:r>
      <w:r w:rsidRPr="007727C7">
        <w:rPr>
          <w:rFonts w:ascii="Times New Roman" w:eastAsia="Times New Roman" w:hAnsi="Times New Roman"/>
          <w:sz w:val="28"/>
          <w:szCs w:val="28"/>
          <w:lang w:eastAsia="ru-RU"/>
        </w:rPr>
        <w:t>1,2</w:t>
      </w:r>
      <w:r w:rsidRPr="007727C7">
        <w:rPr>
          <w:rFonts w:ascii="Times New Roman" w:eastAsia="Times New Roman" w:hAnsi="Times New Roman"/>
          <w:sz w:val="28"/>
          <w:szCs w:val="28"/>
          <w:lang w:eastAsia="ru-RU"/>
        </w:rPr>
        <w:sym w:font="Symbol" w:char="F0B4"/>
      </w:r>
      <w:r w:rsidRPr="007727C7">
        <w:rPr>
          <w:rFonts w:ascii="Times New Roman" w:eastAsia="Times New Roman" w:hAnsi="Times New Roman"/>
          <w:sz w:val="28"/>
          <w:szCs w:val="28"/>
          <w:lang w:eastAsia="ru-RU"/>
        </w:rPr>
        <w:t>2 м),  прямоугольными  (например,  1</w:t>
      </w:r>
      <w:r w:rsidRPr="007727C7">
        <w:rPr>
          <w:rFonts w:ascii="Times New Roman" w:eastAsia="Times New Roman" w:hAnsi="Times New Roman"/>
          <w:sz w:val="28"/>
          <w:szCs w:val="28"/>
          <w:lang w:eastAsia="ru-RU"/>
        </w:rPr>
        <w:sym w:font="Symbol" w:char="F0B4"/>
      </w:r>
      <w:r w:rsidRPr="007727C7">
        <w:rPr>
          <w:rFonts w:ascii="Times New Roman" w:eastAsia="Times New Roman" w:hAnsi="Times New Roman"/>
          <w:sz w:val="28"/>
          <w:szCs w:val="28"/>
          <w:lang w:eastAsia="ru-RU"/>
        </w:rPr>
        <w:t>2,2</w:t>
      </w:r>
      <w:r w:rsidRPr="007727C7">
        <w:rPr>
          <w:rFonts w:ascii="Times New Roman" w:eastAsia="Times New Roman" w:hAnsi="Times New Roman"/>
          <w:sz w:val="28"/>
          <w:szCs w:val="28"/>
          <w:lang w:eastAsia="ru-RU"/>
        </w:rPr>
        <w:sym w:font="Symbol" w:char="F0B4"/>
      </w:r>
      <w:r w:rsidRPr="007727C7">
        <w:rPr>
          <w:rFonts w:ascii="Times New Roman" w:eastAsia="Times New Roman" w:hAnsi="Times New Roman"/>
          <w:sz w:val="28"/>
          <w:szCs w:val="28"/>
          <w:lang w:eastAsia="ru-RU"/>
        </w:rPr>
        <w:t>3,2</w:t>
      </w:r>
      <w:r w:rsidRPr="007727C7">
        <w:rPr>
          <w:rFonts w:ascii="Times New Roman" w:eastAsia="Times New Roman" w:hAnsi="Times New Roman"/>
          <w:sz w:val="28"/>
          <w:szCs w:val="28"/>
          <w:lang w:eastAsia="ru-RU"/>
        </w:rPr>
        <w:sym w:font="Symbol" w:char="F0B4"/>
      </w:r>
      <w:r w:rsidRPr="007727C7">
        <w:rPr>
          <w:rFonts w:ascii="Times New Roman" w:eastAsia="Times New Roman" w:hAnsi="Times New Roman"/>
          <w:sz w:val="28"/>
          <w:szCs w:val="28"/>
          <w:lang w:eastAsia="ru-RU"/>
        </w:rPr>
        <w:t xml:space="preserve">4 м),  круговыми  и  т.д..  Площадки  размещают  по  площади  или  рядами,  когда  они  лежат  в  один  ряд, т. е. на  одной  </w:t>
      </w:r>
      <w:proofErr w:type="gramStart"/>
      <w:r w:rsidRPr="007727C7">
        <w:rPr>
          <w:rFonts w:ascii="Times New Roman" w:eastAsia="Times New Roman" w:hAnsi="Times New Roman"/>
          <w:sz w:val="28"/>
          <w:szCs w:val="28"/>
          <w:lang w:eastAsia="ru-RU"/>
        </w:rPr>
        <w:t>линии</w:t>
      </w:r>
      <w:proofErr w:type="gramEnd"/>
      <w:r w:rsidRPr="007727C7">
        <w:rPr>
          <w:rFonts w:ascii="Times New Roman" w:eastAsia="Times New Roman" w:hAnsi="Times New Roman"/>
          <w:sz w:val="28"/>
          <w:szCs w:val="28"/>
          <w:lang w:eastAsia="ru-RU"/>
        </w:rPr>
        <w:t xml:space="preserve">  как  в  продольном,  так  и  в  поперечном направлении,  или  же  в  шахматном  </w:t>
      </w:r>
      <w:proofErr w:type="gramStart"/>
      <w:r w:rsidRPr="007727C7">
        <w:rPr>
          <w:rFonts w:ascii="Times New Roman" w:eastAsia="Times New Roman" w:hAnsi="Times New Roman"/>
          <w:sz w:val="28"/>
          <w:szCs w:val="28"/>
          <w:lang w:eastAsia="ru-RU"/>
        </w:rPr>
        <w:t>порядке</w:t>
      </w:r>
      <w:proofErr w:type="gramEnd"/>
      <w:r w:rsidRPr="007727C7">
        <w:rPr>
          <w:rFonts w:ascii="Times New Roman" w:eastAsia="Times New Roman" w:hAnsi="Times New Roman"/>
          <w:sz w:val="28"/>
          <w:szCs w:val="28"/>
          <w:lang w:eastAsia="ru-RU"/>
        </w:rPr>
        <w:t>.  Это  зависит  от  наблюдателя. Расстояние  измеряется  от  центра  площадок.</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Такой  способ  применяют,  например,  при  учете  естественного  возобновления.  При  учете  культур  площадками  за  учетные  площадки  принимают  посадочные  или  посевные  места. </w:t>
      </w:r>
      <w:proofErr w:type="gramStart"/>
      <w:r w:rsidRPr="007727C7">
        <w:rPr>
          <w:rFonts w:ascii="Times New Roman" w:eastAsia="Times New Roman" w:hAnsi="Times New Roman"/>
          <w:sz w:val="28"/>
          <w:szCs w:val="28"/>
          <w:lang w:eastAsia="ru-RU"/>
        </w:rPr>
        <w:t xml:space="preserve">Последние  для  наблюдения  можно  отбирать  или  целыми  полосами,  расположенными  через  одинаковые  расстояния  друг  от  друга,  или  же  отдельными  площадками.  </w:t>
      </w:r>
      <w:proofErr w:type="gramEnd"/>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Если  число  площадок  </w:t>
      </w:r>
      <w:r w:rsidRPr="007727C7">
        <w:rPr>
          <w:rFonts w:ascii="Times New Roman" w:eastAsia="Times New Roman" w:hAnsi="Times New Roman"/>
          <w:sz w:val="28"/>
          <w:szCs w:val="28"/>
          <w:lang w:val="en-US" w:eastAsia="ru-RU"/>
        </w:rPr>
        <w:t>N</w:t>
      </w:r>
      <w:r w:rsidRPr="007727C7">
        <w:rPr>
          <w:rFonts w:ascii="Times New Roman" w:eastAsia="Times New Roman" w:hAnsi="Times New Roman"/>
          <w:sz w:val="28"/>
          <w:szCs w:val="28"/>
          <w:lang w:eastAsia="ru-RU"/>
        </w:rPr>
        <w:t xml:space="preserve">,  необходимых  для  получения  результата  с  заданной  точностью,  уже  известно,  то  расстояние  </w:t>
      </w:r>
      <w:r w:rsidRPr="007727C7">
        <w:rPr>
          <w:rFonts w:ascii="Times New Roman" w:eastAsia="Times New Roman" w:hAnsi="Times New Roman"/>
          <w:i/>
          <w:sz w:val="28"/>
          <w:szCs w:val="28"/>
          <w:lang w:val="en-US" w:eastAsia="ru-RU"/>
        </w:rPr>
        <w:t>l</w:t>
      </w:r>
      <w:r w:rsidRPr="007727C7">
        <w:rPr>
          <w:rFonts w:ascii="Times New Roman" w:eastAsia="Times New Roman" w:hAnsi="Times New Roman"/>
          <w:sz w:val="28"/>
          <w:szCs w:val="28"/>
          <w:lang w:eastAsia="ru-RU"/>
        </w:rPr>
        <w:t xml:space="preserve">  между  центрами  площадок  в  </w:t>
      </w:r>
      <w:proofErr w:type="gramStart"/>
      <w:r w:rsidRPr="007727C7">
        <w:rPr>
          <w:rFonts w:ascii="Times New Roman" w:eastAsia="Times New Roman" w:hAnsi="Times New Roman"/>
          <w:sz w:val="28"/>
          <w:szCs w:val="28"/>
          <w:lang w:eastAsia="ru-RU"/>
        </w:rPr>
        <w:t>м</w:t>
      </w:r>
      <w:proofErr w:type="gramEnd"/>
      <w:r w:rsidRPr="007727C7">
        <w:rPr>
          <w:rFonts w:ascii="Times New Roman" w:eastAsia="Times New Roman" w:hAnsi="Times New Roman"/>
          <w:sz w:val="28"/>
          <w:szCs w:val="28"/>
          <w:lang w:eastAsia="ru-RU"/>
        </w:rPr>
        <w:t xml:space="preserve">  определяется  по  формуле</w:t>
      </w:r>
    </w:p>
    <w:p w:rsidR="007727C7" w:rsidRPr="007727C7" w:rsidRDefault="007727C7" w:rsidP="007727C7">
      <w:pPr>
        <w:overflowPunct w:val="0"/>
        <w:autoSpaceDE w:val="0"/>
        <w:autoSpaceDN w:val="0"/>
        <w:adjustRightInd w:val="0"/>
        <w:spacing w:after="0" w:line="240" w:lineRule="auto"/>
        <w:ind w:firstLine="709"/>
        <w:jc w:val="center"/>
        <w:rPr>
          <w:rFonts w:ascii="Times New Roman" w:eastAsia="Times New Roman" w:hAnsi="Times New Roman"/>
          <w:sz w:val="28"/>
          <w:szCs w:val="28"/>
          <w:lang w:eastAsia="ru-RU"/>
        </w:rPr>
      </w:pPr>
      <w:r w:rsidRPr="007727C7">
        <w:rPr>
          <w:rFonts w:ascii="Times New Roman" w:eastAsia="Times New Roman" w:hAnsi="Times New Roman"/>
          <w:position w:val="-26"/>
          <w:sz w:val="28"/>
          <w:szCs w:val="28"/>
          <w:lang w:eastAsia="ru-RU"/>
        </w:rPr>
        <w:object w:dxaOrig="900" w:dyaOrig="696">
          <v:shape id="_x0000_i1026" type="#_x0000_t75" style="width:45.25pt;height:35.1pt" o:ole="">
            <v:imagedata r:id="rId8" o:title=""/>
          </v:shape>
          <o:OLEObject Type="Embed" ProgID="Equation.3" ShapeID="_x0000_i1026" DrawAspect="Content" ObjectID="_1646899045" r:id="rId9"/>
        </w:object>
      </w:r>
      <w:r w:rsidRPr="007727C7">
        <w:rPr>
          <w:rFonts w:ascii="Times New Roman" w:eastAsia="Times New Roman" w:hAnsi="Times New Roman"/>
          <w:sz w:val="28"/>
          <w:szCs w:val="28"/>
          <w:lang w:eastAsia="ru-RU"/>
        </w:rPr>
        <w:t>,</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где  </w:t>
      </w:r>
      <w:proofErr w:type="gramStart"/>
      <w:r w:rsidRPr="007727C7">
        <w:rPr>
          <w:rFonts w:ascii="Times New Roman" w:eastAsia="Times New Roman" w:hAnsi="Times New Roman"/>
          <w:sz w:val="28"/>
          <w:szCs w:val="28"/>
          <w:lang w:eastAsia="ru-RU"/>
        </w:rPr>
        <w:t>П</w:t>
      </w:r>
      <w:proofErr w:type="gramEnd"/>
      <w:r w:rsidRPr="007727C7">
        <w:rPr>
          <w:rFonts w:ascii="Times New Roman" w:eastAsia="Times New Roman" w:hAnsi="Times New Roman"/>
          <w:sz w:val="28"/>
          <w:szCs w:val="28"/>
          <w:lang w:eastAsia="ru-RU"/>
        </w:rPr>
        <w:t xml:space="preserve"> - размер  обследуемой  площади,  м</w:t>
      </w:r>
      <w:r w:rsidRPr="007727C7">
        <w:rPr>
          <w:rFonts w:ascii="Times New Roman" w:eastAsia="Times New Roman" w:hAnsi="Times New Roman"/>
          <w:sz w:val="28"/>
          <w:szCs w:val="28"/>
          <w:vertAlign w:val="superscript"/>
          <w:lang w:eastAsia="ru-RU"/>
        </w:rPr>
        <w:t>2</w:t>
      </w:r>
      <w:r w:rsidRPr="007727C7">
        <w:rPr>
          <w:rFonts w:ascii="Times New Roman" w:eastAsia="Times New Roman" w:hAnsi="Times New Roman"/>
          <w:sz w:val="28"/>
          <w:szCs w:val="28"/>
          <w:lang w:eastAsia="ru-RU"/>
        </w:rPr>
        <w:t>.</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proofErr w:type="gramStart"/>
      <w:r w:rsidRPr="007727C7">
        <w:rPr>
          <w:rFonts w:ascii="Times New Roman" w:eastAsia="Times New Roman" w:hAnsi="Times New Roman"/>
          <w:sz w:val="28"/>
          <w:szCs w:val="28"/>
          <w:lang w:eastAsia="ru-RU"/>
        </w:rPr>
        <w:t xml:space="preserve">Наметив  визиры  (ходовые  линии  обследования),  расположенные  друг  от  друга  на  вычисленном  расстоянии </w:t>
      </w:r>
      <w:r w:rsidRPr="007727C7">
        <w:rPr>
          <w:rFonts w:ascii="Times New Roman" w:eastAsia="Times New Roman" w:hAnsi="Times New Roman"/>
          <w:i/>
          <w:sz w:val="28"/>
          <w:szCs w:val="28"/>
          <w:lang w:eastAsia="ru-RU"/>
        </w:rPr>
        <w:t xml:space="preserve"> l</w:t>
      </w:r>
      <w:r w:rsidRPr="007727C7">
        <w:rPr>
          <w:rFonts w:ascii="Times New Roman" w:eastAsia="Times New Roman" w:hAnsi="Times New Roman"/>
          <w:sz w:val="28"/>
          <w:szCs w:val="28"/>
          <w:lang w:eastAsia="ru-RU"/>
        </w:rPr>
        <w:t xml:space="preserve">,  каждый  из  них  разбивают  на  отрезки  длиной  тоже  в  </w:t>
      </w:r>
      <w:r w:rsidRPr="007727C7">
        <w:rPr>
          <w:rFonts w:ascii="Times New Roman" w:eastAsia="Times New Roman" w:hAnsi="Times New Roman"/>
          <w:i/>
          <w:sz w:val="28"/>
          <w:szCs w:val="28"/>
          <w:lang w:eastAsia="ru-RU"/>
        </w:rPr>
        <w:t>l</w:t>
      </w:r>
      <w:r w:rsidRPr="007727C7">
        <w:rPr>
          <w:rFonts w:ascii="Times New Roman" w:eastAsia="Times New Roman" w:hAnsi="Times New Roman"/>
          <w:sz w:val="28"/>
          <w:szCs w:val="28"/>
          <w:lang w:eastAsia="ru-RU"/>
        </w:rPr>
        <w:t xml:space="preserve">  метров;  в  конце  этих  отрезков  (или  только  справа,  или  только  слева,  или  только  на  самом  визире)  закладывают  площадки,  где  бы  в  натуре  они  ни  пришлись,  пусть  даже  на  дороге  или  на  прогалине.</w:t>
      </w:r>
      <w:proofErr w:type="gramEnd"/>
      <w:r w:rsidRPr="007727C7">
        <w:rPr>
          <w:rFonts w:ascii="Times New Roman" w:eastAsia="Times New Roman" w:hAnsi="Times New Roman"/>
          <w:sz w:val="28"/>
          <w:szCs w:val="28"/>
          <w:lang w:eastAsia="ru-RU"/>
        </w:rPr>
        <w:t xml:space="preserve">  Передвигать  их  нельзя.</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lastRenderedPageBreak/>
        <w:t xml:space="preserve">Так  же  можно  закладывать  ямы для определения  зараженности  почв,  например  </w:t>
      </w:r>
      <w:proofErr w:type="gramStart"/>
      <w:r w:rsidRPr="007727C7">
        <w:rPr>
          <w:rFonts w:ascii="Times New Roman" w:eastAsia="Times New Roman" w:hAnsi="Times New Roman"/>
          <w:sz w:val="28"/>
          <w:szCs w:val="28"/>
          <w:lang w:eastAsia="ru-RU"/>
        </w:rPr>
        <w:t>майским</w:t>
      </w:r>
      <w:proofErr w:type="gramEnd"/>
      <w:r w:rsidRPr="007727C7">
        <w:rPr>
          <w:rFonts w:ascii="Times New Roman" w:eastAsia="Times New Roman" w:hAnsi="Times New Roman"/>
          <w:sz w:val="28"/>
          <w:szCs w:val="28"/>
          <w:lang w:eastAsia="ru-RU"/>
        </w:rPr>
        <w:t xml:space="preserve">  </w:t>
      </w:r>
      <w:proofErr w:type="spellStart"/>
      <w:r w:rsidRPr="007727C7">
        <w:rPr>
          <w:rFonts w:ascii="Times New Roman" w:eastAsia="Times New Roman" w:hAnsi="Times New Roman"/>
          <w:sz w:val="28"/>
          <w:szCs w:val="28"/>
          <w:lang w:eastAsia="ru-RU"/>
        </w:rPr>
        <w:t>хрущем</w:t>
      </w:r>
      <w:proofErr w:type="spellEnd"/>
      <w:r w:rsidRPr="007727C7">
        <w:rPr>
          <w:rFonts w:ascii="Times New Roman" w:eastAsia="Times New Roman" w:hAnsi="Times New Roman"/>
          <w:sz w:val="28"/>
          <w:szCs w:val="28"/>
          <w:lang w:eastAsia="ru-RU"/>
        </w:rPr>
        <w:t>,  площадки  на  стволе  для  изучения  степени  заселенности  и  поражения  вредителями-насекомыми  и  т.п.</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3. </w:t>
      </w:r>
      <w:r w:rsidRPr="007727C7">
        <w:rPr>
          <w:rFonts w:ascii="Times New Roman" w:eastAsia="Times New Roman" w:hAnsi="Times New Roman"/>
          <w:spacing w:val="60"/>
          <w:sz w:val="28"/>
          <w:szCs w:val="28"/>
          <w:lang w:eastAsia="ru-RU"/>
        </w:rPr>
        <w:t>Способ  визиров</w:t>
      </w:r>
      <w:r w:rsidRPr="007727C7">
        <w:rPr>
          <w:rFonts w:ascii="Times New Roman" w:eastAsia="Times New Roman" w:hAnsi="Times New Roman"/>
          <w:sz w:val="28"/>
          <w:szCs w:val="28"/>
          <w:lang w:eastAsia="ru-RU"/>
        </w:rPr>
        <w:t>.  На  обследуемой  площади  через  одно  и  то  же  расстояние  один  от  другого  пробивают  визиры.  На  каждом  визире  учетные единицы (площадки, экземпляры и т. п.) для  наблюдения  можно  отбирать  двумя  способами.</w:t>
      </w:r>
    </w:p>
    <w:p w:rsidR="007727C7" w:rsidRPr="007727C7" w:rsidRDefault="007727C7" w:rsidP="007727C7">
      <w:pPr>
        <w:numPr>
          <w:ilvl w:val="0"/>
          <w:numId w:val="6"/>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В каждую  энную  (например,  десятую,  двадцатую  и  т.д.)  по  ходу,  но  только  всегда  или  слева,  или  только  справа,  независимо  от  того,  какой  по  своему  состоянию  окажется  отобранная  единица  наблюдения.  Следует  заметить,  что  принцип  отбора  энной  (пятой,  десятой  и  т.д.)  по  порядку  единицы  наблюдения  можно  применять,  например,  и  при  отборе  веток  деревьев  для  изучения  плодоношения  и  в  ряде  других  случаев;  при  сплошных  перечетах - отбор  для  более  детального  изучения  каждого  энного  дерева  подряд. Так берут модельные и учетные  деревья.</w:t>
      </w:r>
    </w:p>
    <w:p w:rsidR="007727C7" w:rsidRPr="007727C7" w:rsidRDefault="007727C7" w:rsidP="007727C7">
      <w:pPr>
        <w:numPr>
          <w:ilvl w:val="0"/>
          <w:numId w:val="6"/>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Учетные единицы намечают через  определенное  число  метров, например - 10; 20; </w:t>
      </w:r>
      <w:smartTag w:uri="urn:schemas-microsoft-com:office:smarttags" w:element="metricconverter">
        <w:smartTagPr>
          <w:attr w:name="ProductID" w:val="50 м"/>
        </w:smartTagPr>
        <w:r w:rsidRPr="007727C7">
          <w:rPr>
            <w:rFonts w:ascii="Times New Roman" w:eastAsia="Times New Roman" w:hAnsi="Times New Roman"/>
            <w:sz w:val="28"/>
            <w:szCs w:val="28"/>
            <w:lang w:eastAsia="ru-RU"/>
          </w:rPr>
          <w:t>50 м</w:t>
        </w:r>
      </w:smartTag>
      <w:r w:rsidRPr="007727C7">
        <w:rPr>
          <w:rFonts w:ascii="Times New Roman" w:eastAsia="Times New Roman" w:hAnsi="Times New Roman"/>
          <w:sz w:val="28"/>
          <w:szCs w:val="28"/>
          <w:lang w:eastAsia="ru-RU"/>
        </w:rPr>
        <w:t xml:space="preserve">  и  т.д. - в  зависимости  от  величины  обследуемой  площади. Здесь обследуется  та  единица,  которая  окажется  как  раз  в  конце  каждого  такого  отрезка  визира  или  в  ближайшей  к  этой  точке. Число  отрезков,  на  которое  будут  разбиты  все  визиры,  равняется  числу  отбираемых  единиц  наблюдения.  </w:t>
      </w:r>
    </w:p>
    <w:p w:rsidR="007727C7" w:rsidRPr="007727C7" w:rsidRDefault="007727C7" w:rsidP="007727C7">
      <w:pPr>
        <w:numPr>
          <w:ilvl w:val="0"/>
          <w:numId w:val="6"/>
        </w:numPr>
        <w:tabs>
          <w:tab w:val="num" w:pos="0"/>
          <w:tab w:val="left" w:pos="900"/>
        </w:tabs>
        <w:overflowPunct w:val="0"/>
        <w:autoSpaceDE w:val="0"/>
        <w:autoSpaceDN w:val="0"/>
        <w:adjustRightInd w:val="0"/>
        <w:spacing w:after="0" w:line="240" w:lineRule="auto"/>
        <w:ind w:left="0"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        Задачей  наблюдения  может  стоять  выявление  влияния на объект наблюдения, например на дерево, окружающей  среды, скажем,  сомкнутой  </w:t>
      </w:r>
      <w:proofErr w:type="spellStart"/>
      <w:r w:rsidRPr="007727C7">
        <w:rPr>
          <w:rFonts w:ascii="Times New Roman" w:eastAsia="Times New Roman" w:hAnsi="Times New Roman"/>
          <w:sz w:val="28"/>
          <w:szCs w:val="28"/>
          <w:lang w:eastAsia="ru-RU"/>
        </w:rPr>
        <w:t>биогруппы</w:t>
      </w:r>
      <w:proofErr w:type="spellEnd"/>
      <w:r w:rsidRPr="007727C7">
        <w:rPr>
          <w:rFonts w:ascii="Times New Roman" w:eastAsia="Times New Roman" w:hAnsi="Times New Roman"/>
          <w:sz w:val="28"/>
          <w:szCs w:val="28"/>
          <w:lang w:eastAsia="ru-RU"/>
        </w:rPr>
        <w:t>,  открытого  места,    полога  леса и т.д.  Эти особенности среды могут также влиять на характер возобновления,  на  состав  и  состояние  живого  напочвенного  покрова,  на  плодоношение  разных  растений,  на  рост  и  развитие  леса  и  т.д.  Тогда  учетные  площадки  одного  и  того  же  размера  закладывают  в  этих  типических  условиях,  влияние  которых  требуется  изучить;  они  нередко  подвергаются  повторным  периодическим  наблюдениям,  например  через  каждые  5  или  10  лет.</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Форма  записи  может  быть  списочная,  когда  в  ведомость  заносятся  данные  наблюдений  по  каждой  единице  наблюдения  в  порядке  обследования,  и  карточная,  когда  все  данные  о  каждой  единице  наблюдения  заносятся  в  отдельную  карточку  или бланк. Характерным примером здесь будет  карточка  таксации  модельного  дерева.  Перед  началом  исследований  разрабатывается  методика  производства  наблюдения:  уточняется  единица  наблюдения,  если  она  сложная,  определяются  ее  размеры  и  форма  (ленты,  пробные  площадки  и  площади);  устанавливается  точность  конечного  результата  и  необходимое  количество  единиц  наблюдения,  способ  производства  наблюдения,  отбора  единиц;  оформление  единиц  наблюдения  в  натуре;  сроки  наблюдений  и  единицы  измерений. Составляется  календарный  план  работ  и  смета  расходов.</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lastRenderedPageBreak/>
        <w:t xml:space="preserve">Если  совокупность  варьирует  не  в  слишком  широких  пределах  и  если  выборка  составляет  не  менее  20%  объема  совокупности,  применяют  простой  случайный  отбор  единиц  или  простое  выборочное  наблюдение.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         В лесном хозяйстве воспользоваться  таблицей  случайных  чисел в натуре технически тяжело и практически часто невозможно. Поэтому здесь пользуются систематическим  выборочным  наблюдением.  Например,  если  предстоит  взять  10%-</w:t>
      </w:r>
      <w:proofErr w:type="spellStart"/>
      <w:r w:rsidRPr="007727C7">
        <w:rPr>
          <w:rFonts w:ascii="Times New Roman" w:eastAsia="Times New Roman" w:hAnsi="Times New Roman"/>
          <w:sz w:val="28"/>
          <w:szCs w:val="28"/>
          <w:lang w:eastAsia="ru-RU"/>
        </w:rPr>
        <w:t>ную</w:t>
      </w:r>
      <w:proofErr w:type="spellEnd"/>
      <w:r w:rsidRPr="007727C7">
        <w:rPr>
          <w:rFonts w:ascii="Times New Roman" w:eastAsia="Times New Roman" w:hAnsi="Times New Roman"/>
          <w:sz w:val="28"/>
          <w:szCs w:val="28"/>
          <w:lang w:eastAsia="ru-RU"/>
        </w:rPr>
        <w:t xml:space="preserve">  выборку  деревьев  из  800 штук,  то  случайным  порядком  выбирают  первое,  положим  5 дерево,  и  после  этого  берут  каждое следующее через  10  номеров,  т.е.  за  номерами:  15, 25, 35  и  т.д.,  кончая  номером  795.</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           При  любом  методе  сбора  информации  ее  обработку  и  использование  строят  по  схеме:  информация - гипотеза - модель - проверка    соответствия  модели  исходной  информации  и  объекту,  для  которого  разработана  модель  (рисунок 2.2).  </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В  настоящее  время  существует  два  подхода  к  измерительному  процессу:  классический  и  информационный.  В  большинстве  задач  лесного  дела  выполняются  основные  предпосылки  классического  подхода  к  измерениям:  измеряемая  величина  предполагается  неизменной  на  протяжении  времени  измерений  и  характеризуется  одним  значением,  для  которого  можно  указать  интервал  неопределенности,  т.е.  ошибку  измерений;  время  измерения  практически  не  ограничено;  внешние  условия  и  факторы,  влияющие  на  результат  измерения,  учтены  полностью.</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7727C7">
        <w:rPr>
          <w:rFonts w:ascii="Times New Roman" w:eastAsia="Times New Roman" w:hAnsi="Times New Roman"/>
          <w:sz w:val="28"/>
          <w:szCs w:val="28"/>
          <w:lang w:eastAsia="ru-RU"/>
        </w:rPr>
        <w:t xml:space="preserve">  Информационная  модель  измерительного  процесса  трактует  измерение  как  случайный  процесс,  т.е.  позволяет  оценивать  качество  измерения  величин,  меняющихся  во  времени.</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7727C7" w:rsidRPr="007727C7" w:rsidRDefault="007727C7" w:rsidP="007727C7">
      <w:pPr>
        <w:overflowPunct w:val="0"/>
        <w:autoSpaceDE w:val="0"/>
        <w:autoSpaceDN w:val="0"/>
        <w:adjustRightInd w:val="0"/>
        <w:spacing w:after="0" w:line="240" w:lineRule="auto"/>
        <w:ind w:firstLine="567"/>
        <w:jc w:val="center"/>
        <w:rPr>
          <w:rFonts w:ascii="Times New Roman" w:eastAsia="Times New Roman" w:hAnsi="Times New Roman"/>
          <w:sz w:val="28"/>
          <w:szCs w:val="20"/>
          <w:lang w:eastAsia="ru-RU"/>
        </w:rPr>
      </w:pPr>
      <w:r w:rsidRPr="007727C7">
        <w:rPr>
          <w:rFonts w:ascii="Times New Roman" w:eastAsia="Times New Roman" w:hAnsi="Times New Roman"/>
          <w:noProof/>
          <w:sz w:val="28"/>
          <w:szCs w:val="20"/>
          <w:lang w:eastAsia="ru-RU"/>
        </w:rPr>
        <w:lastRenderedPageBreak/>
        <w:drawing>
          <wp:inline distT="0" distB="0" distL="0" distR="0" wp14:anchorId="24D38927" wp14:editId="6241591C">
            <wp:extent cx="3582035" cy="450596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82035" cy="4505960"/>
                    </a:xfrm>
                    <a:prstGeom prst="rect">
                      <a:avLst/>
                    </a:prstGeom>
                    <a:noFill/>
                    <a:ln>
                      <a:noFill/>
                    </a:ln>
                  </pic:spPr>
                </pic:pic>
              </a:graphicData>
            </a:graphic>
          </wp:inline>
        </w:drawing>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7727C7" w:rsidRPr="007727C7" w:rsidRDefault="007727C7" w:rsidP="007727C7">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Рисунок 2.2  Упрощенная  схема  движения  </w:t>
      </w:r>
      <w:proofErr w:type="spellStart"/>
      <w:r w:rsidRPr="007727C7">
        <w:rPr>
          <w:rFonts w:ascii="Times New Roman" w:eastAsia="Times New Roman" w:hAnsi="Times New Roman"/>
          <w:sz w:val="28"/>
          <w:szCs w:val="20"/>
          <w:lang w:eastAsia="ru-RU"/>
        </w:rPr>
        <w:t>лесоводственной</w:t>
      </w:r>
      <w:proofErr w:type="spellEnd"/>
      <w:r w:rsidRPr="007727C7">
        <w:rPr>
          <w:rFonts w:ascii="Times New Roman" w:eastAsia="Times New Roman" w:hAnsi="Times New Roman"/>
          <w:sz w:val="28"/>
          <w:szCs w:val="20"/>
          <w:lang w:eastAsia="ru-RU"/>
        </w:rPr>
        <w:t xml:space="preserve">  информации</w:t>
      </w:r>
    </w:p>
    <w:p w:rsidR="007727C7" w:rsidRPr="007727C7" w:rsidRDefault="007727C7" w:rsidP="007727C7">
      <w:pPr>
        <w:overflowPunct w:val="0"/>
        <w:autoSpaceDE w:val="0"/>
        <w:autoSpaceDN w:val="0"/>
        <w:adjustRightInd w:val="0"/>
        <w:spacing w:after="0" w:line="240" w:lineRule="auto"/>
        <w:ind w:firstLine="567"/>
        <w:jc w:val="center"/>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(по К. Е Никитину и А. З. </w:t>
      </w:r>
      <w:proofErr w:type="spellStart"/>
      <w:r w:rsidRPr="007727C7">
        <w:rPr>
          <w:rFonts w:ascii="Times New Roman" w:eastAsia="Times New Roman" w:hAnsi="Times New Roman"/>
          <w:sz w:val="28"/>
          <w:szCs w:val="20"/>
          <w:lang w:eastAsia="ru-RU"/>
        </w:rPr>
        <w:t>Швиденко</w:t>
      </w:r>
      <w:proofErr w:type="spellEnd"/>
      <w:r w:rsidRPr="007727C7">
        <w:rPr>
          <w:rFonts w:ascii="Times New Roman" w:eastAsia="Times New Roman" w:hAnsi="Times New Roman"/>
          <w:sz w:val="28"/>
          <w:szCs w:val="20"/>
          <w:lang w:eastAsia="ru-RU"/>
        </w:rPr>
        <w:t>)</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Измерение  может  быть  прямым  и  косвенным.  В  первом  случае  изучаемую  величину  измеряют  непосредственно,  во  втором - наблюдают  не  изучаемую  величину,  а  другую,  которая  с  ней  связана  и  которую  проще  </w:t>
      </w:r>
      <w:proofErr w:type="gramStart"/>
      <w:r w:rsidRPr="007727C7">
        <w:rPr>
          <w:rFonts w:ascii="Times New Roman" w:eastAsia="Times New Roman" w:hAnsi="Times New Roman"/>
          <w:sz w:val="28"/>
          <w:szCs w:val="20"/>
          <w:lang w:eastAsia="ru-RU"/>
        </w:rPr>
        <w:t>измерить</w:t>
      </w:r>
      <w:proofErr w:type="gramEnd"/>
      <w:r w:rsidRPr="007727C7">
        <w:rPr>
          <w:rFonts w:ascii="Times New Roman" w:eastAsia="Times New Roman" w:hAnsi="Times New Roman"/>
          <w:sz w:val="28"/>
          <w:szCs w:val="20"/>
          <w:lang w:eastAsia="ru-RU"/>
        </w:rPr>
        <w:t xml:space="preserve">.  Так,  объем  растущих  деревьев  обычно  определяют  измерением  их  диаметра  и  высоты,  а  объемный  прирост  находится  путем  измерения  радиального  прироста,  энергии  роста  и  т.д.  Переход  к  величине,  являющейся  предметом  изучения,  происходит  при  помощи  математических  моделей  связи.  </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7727C7" w:rsidRPr="007727C7" w:rsidRDefault="007727C7" w:rsidP="007727C7">
      <w:pPr>
        <w:overflowPunct w:val="0"/>
        <w:autoSpaceDE w:val="0"/>
        <w:autoSpaceDN w:val="0"/>
        <w:adjustRightInd w:val="0"/>
        <w:spacing w:after="0" w:line="240" w:lineRule="auto"/>
        <w:ind w:firstLine="540"/>
        <w:jc w:val="center"/>
        <w:rPr>
          <w:rFonts w:ascii="Times New Roman" w:eastAsia="Times New Roman" w:hAnsi="Times New Roman"/>
          <w:b/>
          <w:sz w:val="28"/>
          <w:szCs w:val="20"/>
          <w:lang w:eastAsia="ru-RU"/>
        </w:rPr>
      </w:pPr>
      <w:r w:rsidRPr="007727C7">
        <w:rPr>
          <w:rFonts w:ascii="Times New Roman" w:eastAsia="Times New Roman" w:hAnsi="Times New Roman"/>
          <w:b/>
          <w:sz w:val="28"/>
          <w:szCs w:val="20"/>
          <w:lang w:eastAsia="ru-RU"/>
        </w:rPr>
        <w:t>Дедуктивный  и  индуктивный  методы  в  биометрии</w:t>
      </w:r>
    </w:p>
    <w:p w:rsidR="007727C7" w:rsidRPr="007727C7" w:rsidRDefault="007727C7" w:rsidP="007727C7">
      <w:pPr>
        <w:overflowPunct w:val="0"/>
        <w:autoSpaceDE w:val="0"/>
        <w:autoSpaceDN w:val="0"/>
        <w:adjustRightInd w:val="0"/>
        <w:spacing w:after="0" w:line="240" w:lineRule="auto"/>
        <w:jc w:val="center"/>
        <w:rPr>
          <w:rFonts w:ascii="Times New Roman" w:eastAsia="Times New Roman" w:hAnsi="Times New Roman"/>
          <w:b/>
          <w:sz w:val="28"/>
          <w:szCs w:val="20"/>
          <w:lang w:eastAsia="ru-RU"/>
        </w:rPr>
      </w:pP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В  лесной  биометрии  применяют  как  дедуктивный  (от  общего  к  частному),  так  и  индуктивный  методы  исследований.</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Дедуктивный  метод  применяется,  когда,  хотя  бы  ориентировочно,  известны  общие  закономерности  изменения  случайной  величины. </w:t>
      </w:r>
      <w:proofErr w:type="gramStart"/>
      <w:r w:rsidRPr="007727C7">
        <w:rPr>
          <w:rFonts w:ascii="Times New Roman" w:eastAsia="Times New Roman" w:hAnsi="Times New Roman"/>
          <w:sz w:val="28"/>
          <w:szCs w:val="20"/>
          <w:lang w:eastAsia="ru-RU"/>
        </w:rPr>
        <w:t xml:space="preserve">Так,  мы  знаем  центральную  предельную  теорему,  доказанную русским математиком и механиком А. Ляпуновым (1857 – 1918) в  1901 году,  которая  гласит,  что  распределение  суммы  независимых  случайных  величин  (i=1, 2, ..., n)  стремится  к  нормальному  распределению  при  неограниченном  </w:t>
      </w:r>
      <w:r w:rsidRPr="007727C7">
        <w:rPr>
          <w:rFonts w:ascii="Times New Roman" w:eastAsia="Times New Roman" w:hAnsi="Times New Roman"/>
          <w:sz w:val="28"/>
          <w:szCs w:val="20"/>
          <w:lang w:eastAsia="ru-RU"/>
        </w:rPr>
        <w:lastRenderedPageBreak/>
        <w:t xml:space="preserve">увеличении  </w:t>
      </w:r>
      <w:r w:rsidRPr="007727C7">
        <w:rPr>
          <w:rFonts w:ascii="Times New Roman" w:eastAsia="Times New Roman" w:hAnsi="Times New Roman"/>
          <w:sz w:val="28"/>
          <w:szCs w:val="20"/>
          <w:lang w:val="en-US" w:eastAsia="ru-RU"/>
        </w:rPr>
        <w:t>N</w:t>
      </w:r>
      <w:r w:rsidRPr="007727C7">
        <w:rPr>
          <w:rFonts w:ascii="Times New Roman" w:eastAsia="Times New Roman" w:hAnsi="Times New Roman"/>
          <w:sz w:val="28"/>
          <w:szCs w:val="20"/>
          <w:lang w:eastAsia="ru-RU"/>
        </w:rPr>
        <w:t>,  если  все  величины  имеют  конечные  средние  и  дисперсии  и  ни  одно  из  них  по  своему  значению  резко  не  отличается  от  других.</w:t>
      </w:r>
      <w:proofErr w:type="gramEnd"/>
      <w:r w:rsidRPr="007727C7">
        <w:rPr>
          <w:rFonts w:ascii="Times New Roman" w:eastAsia="Times New Roman" w:hAnsi="Times New Roman"/>
          <w:sz w:val="28"/>
          <w:szCs w:val="20"/>
          <w:lang w:eastAsia="ru-RU"/>
        </w:rPr>
        <w:t xml:space="preserve">  Руководствуясь  этой  теоремой,  можно  рассматривать  распределения,  скажем  диаметров  стволов  в  древостое,  как  частный  случай  проявления  названной  закономерности  и  использовать  кривую  нормального  распределения  для  прогноза  строения  древостоя,  определяя  параметры  конкретного  древостоя  по  проведенным  наблюдениям.</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Но  в  лесном хозяйстве чаще  приходится  использовать  индуктивный  метод  исследований,  т.е.  от  частного  к  общему. Выше  уже  упоминалось,  что  при  статистических  наблюдениях  в  биологии  практически  всегда  имеют  дело  с  выборками  и  по  результатам  их  судят  о  совокупности.  Таким  образом,  вариационная  статистика  (биометрия)  применяет  метод  индукции,  когда  обобщения  делают,  изучив  отдельные  случаи.    В  качестве  примеров  можно  привести  уже  упомянутые  зависимости  между  диаметрами  и  высотами в насаждении.  Сделав анализ  ряда выборок  из древостоев разных  древесных пород, отличающихся также и возрастом, мы придем к выводу, что в одном случае для аппроксимации и прогноза следует использовать уравнение параболы 2 порядка, в другом случае -3 порядка, в третьем - некоторую   более сложную кривую. Названную закономерность мы получаем, проанализировав ряд частных случаев  (отдельных насаждений),  т.е. идем от частного к общему, применяя индуктивный метод. </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Индуктивное заключение, как общий логический процесс, идущий от большой  и  малой посылки, имеет такую форму:</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pacing w:val="60"/>
          <w:sz w:val="28"/>
          <w:szCs w:val="20"/>
          <w:lang w:eastAsia="ru-RU"/>
        </w:rPr>
        <w:t>Большая посылка</w:t>
      </w:r>
      <w:r w:rsidRPr="007727C7">
        <w:rPr>
          <w:rFonts w:ascii="Times New Roman" w:eastAsia="Times New Roman" w:hAnsi="Times New Roman"/>
          <w:sz w:val="28"/>
          <w:szCs w:val="20"/>
          <w:lang w:eastAsia="ru-RU"/>
        </w:rPr>
        <w:t>:  эти коричневые желуди (отборный образец) из данного хранилища.</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pacing w:val="60"/>
          <w:sz w:val="28"/>
          <w:szCs w:val="20"/>
          <w:lang w:eastAsia="ru-RU"/>
        </w:rPr>
        <w:t>Малая посылка</w:t>
      </w:r>
      <w:r w:rsidRPr="007727C7">
        <w:rPr>
          <w:rFonts w:ascii="Times New Roman" w:eastAsia="Times New Roman" w:hAnsi="Times New Roman"/>
          <w:sz w:val="28"/>
          <w:szCs w:val="20"/>
          <w:lang w:eastAsia="ru-RU"/>
        </w:rPr>
        <w:t>:  эти желуди находятся в хранилище.</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pacing w:val="60"/>
          <w:sz w:val="28"/>
          <w:szCs w:val="20"/>
          <w:lang w:eastAsia="ru-RU"/>
        </w:rPr>
        <w:t>Заключение</w:t>
      </w:r>
      <w:r w:rsidRPr="007727C7">
        <w:rPr>
          <w:rFonts w:ascii="Times New Roman" w:eastAsia="Times New Roman" w:hAnsi="Times New Roman"/>
          <w:sz w:val="28"/>
          <w:szCs w:val="20"/>
          <w:lang w:eastAsia="ru-RU"/>
        </w:rPr>
        <w:t>:  все желуди в хранилище коричневые.</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Очевидно, что заключение, </w:t>
      </w:r>
      <w:proofErr w:type="spellStart"/>
      <w:r w:rsidRPr="007727C7">
        <w:rPr>
          <w:rFonts w:ascii="Times New Roman" w:eastAsia="Times New Roman" w:hAnsi="Times New Roman"/>
          <w:sz w:val="28"/>
          <w:szCs w:val="20"/>
          <w:lang w:eastAsia="ru-RU"/>
        </w:rPr>
        <w:t>сделаное</w:t>
      </w:r>
      <w:proofErr w:type="spellEnd"/>
      <w:r w:rsidRPr="007727C7">
        <w:rPr>
          <w:rFonts w:ascii="Times New Roman" w:eastAsia="Times New Roman" w:hAnsi="Times New Roman"/>
          <w:sz w:val="28"/>
          <w:szCs w:val="20"/>
          <w:lang w:eastAsia="ru-RU"/>
        </w:rPr>
        <w:t xml:space="preserve"> с индуктивной аргументацией шире, чем посылки.  В заключени</w:t>
      </w:r>
      <w:proofErr w:type="gramStart"/>
      <w:r w:rsidRPr="007727C7">
        <w:rPr>
          <w:rFonts w:ascii="Times New Roman" w:eastAsia="Times New Roman" w:hAnsi="Times New Roman"/>
          <w:sz w:val="28"/>
          <w:szCs w:val="20"/>
          <w:lang w:eastAsia="ru-RU"/>
        </w:rPr>
        <w:t>и</w:t>
      </w:r>
      <w:proofErr w:type="gramEnd"/>
      <w:r w:rsidRPr="007727C7">
        <w:rPr>
          <w:rFonts w:ascii="Times New Roman" w:eastAsia="Times New Roman" w:hAnsi="Times New Roman"/>
          <w:sz w:val="28"/>
          <w:szCs w:val="20"/>
          <w:lang w:eastAsia="ru-RU"/>
        </w:rPr>
        <w:t xml:space="preserve"> добавляется нечто новое, расширяющее знания об изучаемом явлении. Это потенциальное расширение знаний требует осторожности. Оно может быть плодотворно, но существует некоторая опасность получить необоснованные и ложные выводы.</w:t>
      </w:r>
    </w:p>
    <w:p w:rsidR="007727C7" w:rsidRPr="007727C7" w:rsidRDefault="007727C7" w:rsidP="007727C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Логическим основанием индуктивного  заключения является предположение о единообразии в системе фактов, относящихся к посылкам и заключению. Это предположение, называемое по-разному - единообразием в природе, статистической устойчивостью опыта, ограничением независимой вариации в природе, - всегда представляет как бы невысказанную посылку индукции.</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 xml:space="preserve">Если  бы  единообразие  в  естественных  процессах  не  проявлялось,  природе  был  бы  свойственен  полный  хаос.  Но в природе  существует  определенное  единообразие  в  поведении  отдельных  единиц,  составляющих  то  или  иное  массовое  явление.  Однако  это  единообразие  в  природе  не  столь  строго,  чтобы  можно  было  сделать  точную  оценку  массового  (общего)  явления  наблюдаемых  единиц.  Поэтому  статистические  заключения  о  свойствах  генеральных  совокупностей  </w:t>
      </w:r>
      <w:proofErr w:type="gramStart"/>
      <w:r w:rsidRPr="007727C7">
        <w:rPr>
          <w:rFonts w:ascii="Times New Roman" w:eastAsia="Times New Roman" w:hAnsi="Times New Roman"/>
          <w:sz w:val="28"/>
          <w:szCs w:val="20"/>
          <w:lang w:eastAsia="ru-RU"/>
        </w:rPr>
        <w:t>по</w:t>
      </w:r>
      <w:proofErr w:type="gramEnd"/>
      <w:r w:rsidRPr="007727C7">
        <w:rPr>
          <w:rFonts w:ascii="Times New Roman" w:eastAsia="Times New Roman" w:hAnsi="Times New Roman"/>
          <w:sz w:val="28"/>
          <w:szCs w:val="20"/>
          <w:lang w:eastAsia="ru-RU"/>
        </w:rPr>
        <w:t xml:space="preserve">  </w:t>
      </w:r>
      <w:proofErr w:type="gramStart"/>
      <w:r w:rsidRPr="007727C7">
        <w:rPr>
          <w:rFonts w:ascii="Times New Roman" w:eastAsia="Times New Roman" w:hAnsi="Times New Roman"/>
          <w:sz w:val="28"/>
          <w:szCs w:val="20"/>
          <w:lang w:eastAsia="ru-RU"/>
        </w:rPr>
        <w:lastRenderedPageBreak/>
        <w:t>выборочным</w:t>
      </w:r>
      <w:proofErr w:type="gramEnd"/>
      <w:r w:rsidRPr="007727C7">
        <w:rPr>
          <w:rFonts w:ascii="Times New Roman" w:eastAsia="Times New Roman" w:hAnsi="Times New Roman"/>
          <w:sz w:val="28"/>
          <w:szCs w:val="20"/>
          <w:lang w:eastAsia="ru-RU"/>
        </w:rPr>
        <w:t xml:space="preserve">  всегда  имеют  вероятностный  характер,  т.е.  делаются  с  определенной  степенью  безошибочности  и  никогда  не  делаются  с  полной  достоверностью.</w:t>
      </w:r>
    </w:p>
    <w:p w:rsidR="007727C7" w:rsidRPr="007727C7" w:rsidRDefault="007727C7" w:rsidP="007727C7">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7727C7">
        <w:rPr>
          <w:rFonts w:ascii="Times New Roman" w:eastAsia="Times New Roman" w:hAnsi="Times New Roman"/>
          <w:sz w:val="28"/>
          <w:szCs w:val="20"/>
          <w:lang w:eastAsia="ru-RU"/>
        </w:rPr>
        <w:t>Предположим,  производится  оценка  степени  повреждаемости  подроста  на  нескольких  десятках  лесосек  при  применяемой  технологии  лесосечных  работ.  В  этом  случае  генеральная  совокупность  бесконечна,  ибо  для  оценки  не  столь  важно,  сколько  повреждено  подроста  на  конкретных  лесосеках,  как  то,  сколько  его  будет  повреждаться  при  подобных  условиях  на  всех  других  лесосеках,  не  исследованных  в  опыте.  Здесь  научный  эксперимент  становится  как  бы  “механизмом”  получения  случайной  выборки.</w:t>
      </w:r>
    </w:p>
    <w:p w:rsidR="004B7C93" w:rsidRPr="007727C7" w:rsidRDefault="007727C7" w:rsidP="007727C7">
      <w:pPr>
        <w:spacing w:after="0" w:line="240" w:lineRule="auto"/>
        <w:ind w:firstLine="709"/>
        <w:jc w:val="both"/>
      </w:pPr>
      <w:r w:rsidRPr="007727C7">
        <w:rPr>
          <w:rFonts w:ascii="Times New Roman" w:eastAsia="Times New Roman" w:hAnsi="Times New Roman"/>
          <w:sz w:val="28"/>
          <w:szCs w:val="20"/>
          <w:lang w:eastAsia="ru-RU"/>
        </w:rPr>
        <w:t xml:space="preserve">Из  приведенных  примеров  видно,  что  в  биометрии  (в  </w:t>
      </w:r>
      <w:proofErr w:type="spellStart"/>
      <w:r w:rsidRPr="007727C7">
        <w:rPr>
          <w:rFonts w:ascii="Times New Roman" w:eastAsia="Times New Roman" w:hAnsi="Times New Roman"/>
          <w:sz w:val="28"/>
          <w:szCs w:val="20"/>
          <w:lang w:eastAsia="ru-RU"/>
        </w:rPr>
        <w:t>т.ч</w:t>
      </w:r>
      <w:proofErr w:type="spellEnd"/>
      <w:r w:rsidRPr="007727C7">
        <w:rPr>
          <w:rFonts w:ascii="Times New Roman" w:eastAsia="Times New Roman" w:hAnsi="Times New Roman"/>
          <w:sz w:val="28"/>
          <w:szCs w:val="20"/>
          <w:lang w:eastAsia="ru-RU"/>
        </w:rPr>
        <w:t>.  в  лесной  биометрии)  применяются  оба  метода  (индуктивный  и  дедуктивный),  но  преобладает  индуктивный.</w:t>
      </w:r>
    </w:p>
    <w:sectPr w:rsidR="004B7C93" w:rsidRPr="007727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6405"/>
    <w:multiLevelType w:val="multilevel"/>
    <w:tmpl w:val="8AAEBD0A"/>
    <w:lvl w:ilvl="0">
      <w:start w:val="1"/>
      <w:numFmt w:val="decimal"/>
      <w:lvlText w:val="%1"/>
      <w:lvlJc w:val="left"/>
      <w:pPr>
        <w:tabs>
          <w:tab w:val="num" w:pos="360"/>
        </w:tabs>
        <w:ind w:left="360" w:hanging="360"/>
      </w:pPr>
    </w:lvl>
    <w:lvl w:ilvl="1">
      <w:start w:val="4"/>
      <w:numFmt w:val="decimal"/>
      <w:lvlText w:val="%1.%2"/>
      <w:lvlJc w:val="left"/>
      <w:pPr>
        <w:tabs>
          <w:tab w:val="num" w:pos="360"/>
        </w:tabs>
        <w:ind w:left="360" w:hanging="36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nsid w:val="20CF61D8"/>
    <w:multiLevelType w:val="hybridMultilevel"/>
    <w:tmpl w:val="6B5E5098"/>
    <w:lvl w:ilvl="0" w:tplc="04190001">
      <w:start w:val="1"/>
      <w:numFmt w:val="bullet"/>
      <w:lvlText w:val=""/>
      <w:lvlJc w:val="left"/>
      <w:pPr>
        <w:tabs>
          <w:tab w:val="num" w:pos="2367"/>
        </w:tabs>
        <w:ind w:left="2367" w:hanging="360"/>
      </w:pPr>
      <w:rPr>
        <w:rFonts w:ascii="Symbol" w:hAnsi="Symbol" w:hint="default"/>
      </w:rPr>
    </w:lvl>
    <w:lvl w:ilvl="1" w:tplc="D7E61790">
      <w:start w:val="1"/>
      <w:numFmt w:val="bullet"/>
      <w:lvlText w:val=""/>
      <w:lvlJc w:val="left"/>
      <w:pPr>
        <w:tabs>
          <w:tab w:val="num" w:pos="2044"/>
        </w:tabs>
        <w:ind w:left="1080" w:firstLine="567"/>
      </w:pPr>
      <w:rPr>
        <w:rFonts w:ascii="Symbol" w:hAnsi="Symbol" w:hint="default"/>
      </w:rPr>
    </w:lvl>
    <w:lvl w:ilvl="2" w:tplc="04190005">
      <w:start w:val="1"/>
      <w:numFmt w:val="bullet"/>
      <w:lvlText w:val=""/>
      <w:lvlJc w:val="left"/>
      <w:pPr>
        <w:tabs>
          <w:tab w:val="num" w:pos="3807"/>
        </w:tabs>
        <w:ind w:left="3807" w:hanging="360"/>
      </w:pPr>
      <w:rPr>
        <w:rFonts w:ascii="Wingdings" w:hAnsi="Wingdings" w:hint="default"/>
      </w:rPr>
    </w:lvl>
    <w:lvl w:ilvl="3" w:tplc="04190001">
      <w:start w:val="1"/>
      <w:numFmt w:val="bullet"/>
      <w:lvlText w:val=""/>
      <w:lvlJc w:val="left"/>
      <w:pPr>
        <w:tabs>
          <w:tab w:val="num" w:pos="4527"/>
        </w:tabs>
        <w:ind w:left="4527" w:hanging="360"/>
      </w:pPr>
      <w:rPr>
        <w:rFonts w:ascii="Symbol" w:hAnsi="Symbol" w:hint="default"/>
      </w:rPr>
    </w:lvl>
    <w:lvl w:ilvl="4" w:tplc="04190003">
      <w:start w:val="1"/>
      <w:numFmt w:val="bullet"/>
      <w:lvlText w:val="o"/>
      <w:lvlJc w:val="left"/>
      <w:pPr>
        <w:tabs>
          <w:tab w:val="num" w:pos="5247"/>
        </w:tabs>
        <w:ind w:left="5247" w:hanging="360"/>
      </w:pPr>
      <w:rPr>
        <w:rFonts w:ascii="Courier New" w:hAnsi="Courier New" w:cs="Courier New" w:hint="default"/>
      </w:rPr>
    </w:lvl>
    <w:lvl w:ilvl="5" w:tplc="04190005">
      <w:start w:val="1"/>
      <w:numFmt w:val="bullet"/>
      <w:lvlText w:val=""/>
      <w:lvlJc w:val="left"/>
      <w:pPr>
        <w:tabs>
          <w:tab w:val="num" w:pos="5967"/>
        </w:tabs>
        <w:ind w:left="5967" w:hanging="360"/>
      </w:pPr>
      <w:rPr>
        <w:rFonts w:ascii="Wingdings" w:hAnsi="Wingdings" w:hint="default"/>
      </w:rPr>
    </w:lvl>
    <w:lvl w:ilvl="6" w:tplc="04190001">
      <w:start w:val="1"/>
      <w:numFmt w:val="bullet"/>
      <w:lvlText w:val=""/>
      <w:lvlJc w:val="left"/>
      <w:pPr>
        <w:tabs>
          <w:tab w:val="num" w:pos="6687"/>
        </w:tabs>
        <w:ind w:left="6687" w:hanging="360"/>
      </w:pPr>
      <w:rPr>
        <w:rFonts w:ascii="Symbol" w:hAnsi="Symbol" w:hint="default"/>
      </w:rPr>
    </w:lvl>
    <w:lvl w:ilvl="7" w:tplc="04190003">
      <w:start w:val="1"/>
      <w:numFmt w:val="bullet"/>
      <w:lvlText w:val="o"/>
      <w:lvlJc w:val="left"/>
      <w:pPr>
        <w:tabs>
          <w:tab w:val="num" w:pos="7407"/>
        </w:tabs>
        <w:ind w:left="7407" w:hanging="360"/>
      </w:pPr>
      <w:rPr>
        <w:rFonts w:ascii="Courier New" w:hAnsi="Courier New" w:cs="Courier New" w:hint="default"/>
      </w:rPr>
    </w:lvl>
    <w:lvl w:ilvl="8" w:tplc="04190005">
      <w:start w:val="1"/>
      <w:numFmt w:val="bullet"/>
      <w:lvlText w:val=""/>
      <w:lvlJc w:val="left"/>
      <w:pPr>
        <w:tabs>
          <w:tab w:val="num" w:pos="8127"/>
        </w:tabs>
        <w:ind w:left="8127" w:hanging="360"/>
      </w:pPr>
      <w:rPr>
        <w:rFonts w:ascii="Wingdings" w:hAnsi="Wingdings" w:hint="default"/>
      </w:rPr>
    </w:lvl>
  </w:abstractNum>
  <w:abstractNum w:abstractNumId="2">
    <w:nsid w:val="48552681"/>
    <w:multiLevelType w:val="multilevel"/>
    <w:tmpl w:val="BD109DA0"/>
    <w:lvl w:ilvl="0">
      <w:start w:val="1"/>
      <w:numFmt w:val="decimal"/>
      <w:lvlText w:val="%1"/>
      <w:lvlJc w:val="left"/>
      <w:pPr>
        <w:tabs>
          <w:tab w:val="num" w:pos="435"/>
        </w:tabs>
        <w:ind w:left="435" w:hanging="435"/>
      </w:pPr>
    </w:lvl>
    <w:lvl w:ilvl="1">
      <w:start w:val="1"/>
      <w:numFmt w:val="decimal"/>
      <w:lvlText w:val="%1.%2"/>
      <w:lvlJc w:val="left"/>
      <w:pPr>
        <w:tabs>
          <w:tab w:val="num" w:pos="435"/>
        </w:tabs>
        <w:ind w:left="43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nsid w:val="6B2D70F0"/>
    <w:multiLevelType w:val="multilevel"/>
    <w:tmpl w:val="CFE2A5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6DD30C2B"/>
    <w:multiLevelType w:val="hybridMultilevel"/>
    <w:tmpl w:val="EF7AD70A"/>
    <w:lvl w:ilvl="0" w:tplc="04190001">
      <w:start w:val="1"/>
      <w:numFmt w:val="bullet"/>
      <w:lvlText w:val=""/>
      <w:lvlJc w:val="left"/>
      <w:pPr>
        <w:tabs>
          <w:tab w:val="num" w:pos="1287"/>
        </w:tabs>
        <w:ind w:left="1287" w:hanging="360"/>
      </w:pPr>
      <w:rPr>
        <w:rFonts w:ascii="Symbol" w:hAnsi="Symbol" w:hint="default"/>
      </w:rPr>
    </w:lvl>
    <w:lvl w:ilvl="1" w:tplc="04190009">
      <w:start w:val="1"/>
      <w:numFmt w:val="bullet"/>
      <w:lvlText w:val=""/>
      <w:lvlJc w:val="left"/>
      <w:pPr>
        <w:tabs>
          <w:tab w:val="num" w:pos="2007"/>
        </w:tabs>
        <w:ind w:left="2007" w:hanging="360"/>
      </w:pPr>
      <w:rPr>
        <w:rFonts w:ascii="Wingdings" w:hAnsi="Wingdings"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5">
    <w:nsid w:val="7D5166AD"/>
    <w:multiLevelType w:val="multilevel"/>
    <w:tmpl w:val="941EBD22"/>
    <w:lvl w:ilvl="0">
      <w:start w:val="1"/>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CA7"/>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57AB3"/>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7C7"/>
    <w:rsid w:val="00772DCD"/>
    <w:rsid w:val="007850BD"/>
    <w:rsid w:val="00787149"/>
    <w:rsid w:val="00796DFB"/>
    <w:rsid w:val="007A1A1E"/>
    <w:rsid w:val="007B3BEA"/>
    <w:rsid w:val="007B6883"/>
    <w:rsid w:val="007B79B9"/>
    <w:rsid w:val="007C521B"/>
    <w:rsid w:val="007D432F"/>
    <w:rsid w:val="007D510C"/>
    <w:rsid w:val="007D5DAE"/>
    <w:rsid w:val="007D7A16"/>
    <w:rsid w:val="007D7E99"/>
    <w:rsid w:val="007E3B29"/>
    <w:rsid w:val="007F4E26"/>
    <w:rsid w:val="00800D7B"/>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B7CA7"/>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B49A5"/>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uiPriority w:val="99"/>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7C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uiPriority w:val="99"/>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7C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2626</Words>
  <Characters>14971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2020-03-28T05:06:00Z</dcterms:created>
  <dcterms:modified xsi:type="dcterms:W3CDTF">2020-03-28T05:06:00Z</dcterms:modified>
</cp:coreProperties>
</file>